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4F11" w14:textId="6986B861" w:rsidR="009C3FA8" w:rsidRPr="009C3FA8" w:rsidRDefault="009C3FA8" w:rsidP="009C3FA8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caps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350F9E3" wp14:editId="639473D2">
            <wp:simplePos x="0" y="0"/>
            <wp:positionH relativeFrom="margin">
              <wp:posOffset>-13970</wp:posOffset>
            </wp:positionH>
            <wp:positionV relativeFrom="margin">
              <wp:posOffset>-323215</wp:posOffset>
            </wp:positionV>
            <wp:extent cx="723900" cy="956310"/>
            <wp:effectExtent l="0" t="0" r="0" b="0"/>
            <wp:wrapSquare wrapText="bothSides"/>
            <wp:docPr id="115891483" name="Image 1" descr="Une image contenant texte, logo, Emblèm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1483" name="Image 1" descr="Une image contenant texte, logo, Emblème, symbol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CE">
        <w:rPr>
          <w:rFonts w:ascii="Verdana" w:hAnsi="Verdana"/>
          <w:b/>
          <w:bCs/>
        </w:rPr>
        <w:t>S</w:t>
      </w:r>
      <w:r w:rsidR="004767CE" w:rsidRPr="009C3FA8">
        <w:rPr>
          <w:rFonts w:ascii="Verdana" w:hAnsi="Verdana"/>
          <w:b/>
          <w:bCs/>
        </w:rPr>
        <w:t xml:space="preserve">ynthèse de l’atelier « lycéens » sur les usages </w:t>
      </w:r>
      <w:r w:rsidR="00CC7FDF">
        <w:rPr>
          <w:rFonts w:ascii="Verdana" w:hAnsi="Verdana"/>
          <w:b/>
          <w:bCs/>
        </w:rPr>
        <w:br/>
      </w:r>
      <w:r w:rsidR="004767CE" w:rsidRPr="009C3FA8">
        <w:rPr>
          <w:rFonts w:ascii="Verdana" w:hAnsi="Verdana"/>
          <w:b/>
          <w:bCs/>
        </w:rPr>
        <w:t>des manuels scolaires et des ressources pédagogiques</w:t>
      </w:r>
    </w:p>
    <w:p w14:paraId="3D0FA992" w14:textId="099A2E01" w:rsidR="004767CE" w:rsidRPr="004767CE" w:rsidRDefault="00843CD2" w:rsidP="00296030">
      <w:pPr>
        <w:spacing w:after="0" w:line="240" w:lineRule="auto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14</w:t>
      </w:r>
      <w:r w:rsidR="004767CE" w:rsidRPr="004767CE">
        <w:rPr>
          <w:rFonts w:ascii="Verdana" w:hAnsi="Verdana"/>
          <w:bCs/>
        </w:rPr>
        <w:t xml:space="preserve"> octobre 2025 </w:t>
      </w:r>
    </w:p>
    <w:p w14:paraId="69A8F27C" w14:textId="77777777" w:rsidR="00296030" w:rsidRPr="004767CE" w:rsidRDefault="004767CE" w:rsidP="00296030">
      <w:pPr>
        <w:spacing w:after="0" w:line="240" w:lineRule="auto"/>
        <w:jc w:val="center"/>
        <w:rPr>
          <w:rFonts w:ascii="Verdana" w:hAnsi="Verdana"/>
          <w:bCs/>
        </w:rPr>
      </w:pPr>
      <w:r w:rsidRPr="004767CE">
        <w:rPr>
          <w:rFonts w:ascii="Verdana" w:hAnsi="Verdana"/>
          <w:bCs/>
        </w:rPr>
        <w:t xml:space="preserve">Rédigée par Yves </w:t>
      </w:r>
      <w:proofErr w:type="spellStart"/>
      <w:r w:rsidRPr="004767CE">
        <w:rPr>
          <w:rFonts w:ascii="Verdana" w:hAnsi="Verdana"/>
          <w:bCs/>
        </w:rPr>
        <w:t>Chaineau</w:t>
      </w:r>
      <w:proofErr w:type="spellEnd"/>
      <w:r w:rsidRPr="004767CE">
        <w:rPr>
          <w:rFonts w:ascii="Verdana" w:hAnsi="Verdana"/>
          <w:bCs/>
        </w:rPr>
        <w:t xml:space="preserve"> et Eric Bruillard</w:t>
      </w:r>
    </w:p>
    <w:p w14:paraId="3AB4280D" w14:textId="77777777" w:rsidR="004767CE" w:rsidRPr="00296030" w:rsidRDefault="004767CE" w:rsidP="00296030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70B2EEA4" w14:textId="31144927" w:rsidR="00296030" w:rsidRPr="006338AA" w:rsidRDefault="0005401C" w:rsidP="00EC4C55">
      <w:pPr>
        <w:pStyle w:val="Standard"/>
      </w:pPr>
      <w:r w:rsidRPr="006338AA">
        <w:t xml:space="preserve">Cet atelier a réuni </w:t>
      </w:r>
      <w:r w:rsidR="00EC4C55">
        <w:t>2</w:t>
      </w:r>
      <w:r w:rsidR="004767CE">
        <w:t>6</w:t>
      </w:r>
      <w:r w:rsidRPr="006338AA">
        <w:t xml:space="preserve"> élèves de lycée</w:t>
      </w:r>
      <w:r w:rsidR="00EC4C55">
        <w:t xml:space="preserve"> </w:t>
      </w:r>
      <w:r w:rsidRPr="006338AA">
        <w:t>(professionnel, général et technologique</w:t>
      </w:r>
      <w:r w:rsidR="00EC4C55">
        <w:t xml:space="preserve">) et 2 </w:t>
      </w:r>
      <w:r w:rsidRPr="006338AA">
        <w:t xml:space="preserve">élèves de classes préparatoires, </w:t>
      </w:r>
      <w:r w:rsidR="00CE3A71">
        <w:t>à</w:t>
      </w:r>
      <w:r w:rsidRPr="006338AA">
        <w:t xml:space="preserve"> Bordeaux, Limoges et Poitiers</w:t>
      </w:r>
      <w:r w:rsidR="009D2F14">
        <w:t xml:space="preserve">, </w:t>
      </w:r>
      <w:r w:rsidR="00EC4C55">
        <w:t xml:space="preserve">autour </w:t>
      </w:r>
      <w:r w:rsidR="009D2F14">
        <w:t xml:space="preserve">de questions </w:t>
      </w:r>
      <w:r w:rsidR="00EC4C55">
        <w:t xml:space="preserve">sur le </w:t>
      </w:r>
      <w:r w:rsidR="009D2F14">
        <w:t>travail scolaire</w:t>
      </w:r>
      <w:r w:rsidR="00EC4C55">
        <w:t xml:space="preserve"> hors établissement et </w:t>
      </w:r>
      <w:r w:rsidR="00CE3A71">
        <w:t xml:space="preserve">sur </w:t>
      </w:r>
      <w:r w:rsidR="00EC4C55">
        <w:t>les ressources pédagogiques utilisées.</w:t>
      </w:r>
      <w:r w:rsidR="009C3FA8">
        <w:t xml:space="preserve"> Cette</w:t>
      </w:r>
      <w:r w:rsidR="00EC4C55">
        <w:t xml:space="preserve"> brève synthèse rend compte de leur discours en faisant ressortir les éléments </w:t>
      </w:r>
      <w:r w:rsidR="00CE3A71">
        <w:t>les plus saillants.</w:t>
      </w:r>
    </w:p>
    <w:p w14:paraId="668C771B" w14:textId="74CD329E" w:rsidR="0005401C" w:rsidRPr="00DE4FDD" w:rsidRDefault="00ED036A" w:rsidP="004767CE">
      <w:pPr>
        <w:pStyle w:val="Titre2"/>
        <w:rPr>
          <w:b w:val="0"/>
        </w:rPr>
      </w:pPr>
      <w:r w:rsidRPr="00DE4FDD">
        <w:t>Après les cours : un travail scolaire régulier souvent solitaire</w:t>
      </w:r>
    </w:p>
    <w:p w14:paraId="17143C3E" w14:textId="1C3AFDB3" w:rsidR="00B84574" w:rsidRDefault="00BB5EF6" w:rsidP="00EC4C55">
      <w:pPr>
        <w:pStyle w:val="Standard"/>
      </w:pPr>
      <w:r w:rsidRPr="006338AA">
        <w:t xml:space="preserve">Aux dires des jeunes, le travail scolaire à la maison est </w:t>
      </w:r>
      <w:r w:rsidRPr="00476AC9">
        <w:rPr>
          <w:i/>
          <w:iCs/>
        </w:rPr>
        <w:t>régulier, voire quotidien</w:t>
      </w:r>
      <w:r w:rsidRPr="006338AA">
        <w:t xml:space="preserve"> et centré sur le soir après les cours. </w:t>
      </w:r>
      <w:r w:rsidR="00B84574">
        <w:t>Il s’effectue en grande majorité</w:t>
      </w:r>
      <w:r w:rsidR="006338AA" w:rsidRPr="006338AA">
        <w:t xml:space="preserve"> </w:t>
      </w:r>
      <w:r w:rsidR="006338AA" w:rsidRPr="00476AC9">
        <w:rPr>
          <w:i/>
          <w:iCs/>
        </w:rPr>
        <w:t>seul</w:t>
      </w:r>
      <w:r w:rsidR="006338AA" w:rsidRPr="006338AA">
        <w:t xml:space="preserve"> (avec ou sans l’appui de l’IA), </w:t>
      </w:r>
      <w:r w:rsidR="0044713C">
        <w:t xml:space="preserve">parfois avec des amis et plus </w:t>
      </w:r>
      <w:r w:rsidR="00B84574">
        <w:t xml:space="preserve">rarement </w:t>
      </w:r>
      <w:r w:rsidR="0044713C">
        <w:t xml:space="preserve">avec </w:t>
      </w:r>
      <w:r w:rsidR="00B84574">
        <w:t>la famille.</w:t>
      </w:r>
    </w:p>
    <w:p w14:paraId="410A3276" w14:textId="1F511877" w:rsidR="00DE4FDD" w:rsidRPr="00DE4FDD" w:rsidRDefault="00DE4FDD" w:rsidP="004767CE">
      <w:pPr>
        <w:pStyle w:val="Titre2"/>
      </w:pPr>
      <w:r w:rsidRPr="00DE4FDD">
        <w:t>D</w:t>
      </w:r>
      <w:r w:rsidR="000F3376">
        <w:t>es u</w:t>
      </w:r>
      <w:r w:rsidRPr="00DE4FDD">
        <w:t>tilisations limitées de l’espace numérique de travail (ENT)</w:t>
      </w:r>
      <w:r w:rsidR="004767CE">
        <w:br/>
      </w:r>
      <w:r w:rsidR="000F3376">
        <w:t>et des manuels</w:t>
      </w:r>
    </w:p>
    <w:p w14:paraId="323D0309" w14:textId="4F161C08" w:rsidR="00DE4FDD" w:rsidRDefault="00DE4FDD" w:rsidP="00DE4FDD">
      <w:pPr>
        <w:pStyle w:val="Standard"/>
      </w:pPr>
      <w:r>
        <w:t xml:space="preserve">L’ENT est avant tout connu pour fournir un lien pour accéder à </w:t>
      </w:r>
      <w:hyperlink r:id="rId6" w:history="1">
        <w:r w:rsidRPr="00DE4FDD">
          <w:rPr>
            <w:rStyle w:val="Lienhypertexte"/>
          </w:rPr>
          <w:t>Pronote</w:t>
        </w:r>
      </w:hyperlink>
      <w:r>
        <w:t xml:space="preserve">, le logiciel de gestion de la vie scolaire, </w:t>
      </w:r>
      <w:r w:rsidR="00531915">
        <w:t xml:space="preserve">pour </w:t>
      </w:r>
      <w:r>
        <w:t>donner un point d’appui à l’organisation du travail, plus rarement pour donner accès à des ressources éducatives</w:t>
      </w:r>
      <w:r w:rsidR="003A5E68">
        <w:t xml:space="preserve"> (selon les injonctions des enseignants ?)</w:t>
      </w:r>
    </w:p>
    <w:p w14:paraId="73B83926" w14:textId="36999866" w:rsidR="00296030" w:rsidRDefault="006338AA" w:rsidP="00EC4C55">
      <w:pPr>
        <w:pStyle w:val="Standard"/>
      </w:pPr>
      <w:r>
        <w:t xml:space="preserve">Les manuels scolaires </w:t>
      </w:r>
      <w:r w:rsidR="001C4409">
        <w:t xml:space="preserve">sont très inégalement utilisés, </w:t>
      </w:r>
      <w:r w:rsidR="0044713C">
        <w:t xml:space="preserve">dans à peu près toutes les disciplines et plutôt moins en lycée professionnel, </w:t>
      </w:r>
      <w:r w:rsidR="001C4409">
        <w:t xml:space="preserve">principalement pour </w:t>
      </w:r>
      <w:r w:rsidR="00DE4FDD">
        <w:t>effectuer</w:t>
      </w:r>
      <w:r w:rsidR="001C4409">
        <w:t xml:space="preserve"> les exercices (prescrits par les enseignants) </w:t>
      </w:r>
      <w:r w:rsidR="00DE4FDD">
        <w:t>ou</w:t>
      </w:r>
      <w:r w:rsidR="001C4409">
        <w:t xml:space="preserve"> pour</w:t>
      </w:r>
      <w:r w:rsidR="00DE4FDD">
        <w:t xml:space="preserve"> mener</w:t>
      </w:r>
      <w:r w:rsidR="001C4409">
        <w:t xml:space="preserve"> des révisions</w:t>
      </w:r>
      <w:r w:rsidR="00DE4FDD">
        <w:t xml:space="preserve"> et revoir le cours. Ils </w:t>
      </w:r>
      <w:r w:rsidR="009D2F14" w:rsidRPr="00DE4FDD">
        <w:t>sont désormais fortement concurrencés par les</w:t>
      </w:r>
      <w:r w:rsidRPr="00DE4FDD">
        <w:t xml:space="preserve"> ressources</w:t>
      </w:r>
      <w:r w:rsidR="000F3376">
        <w:t xml:space="preserve"> directement</w:t>
      </w:r>
      <w:r w:rsidRPr="00DE4FDD">
        <w:t xml:space="preserve"> accessibles </w:t>
      </w:r>
      <w:r w:rsidR="00476AC9" w:rsidRPr="00DE4FDD">
        <w:t xml:space="preserve">sur </w:t>
      </w:r>
      <w:r w:rsidRPr="00DE4FDD">
        <w:t xml:space="preserve">Internet. </w:t>
      </w:r>
    </w:p>
    <w:p w14:paraId="05BF6057" w14:textId="1FE49ECD" w:rsidR="00540A16" w:rsidRPr="00540A16" w:rsidRDefault="00540A16" w:rsidP="004767CE">
      <w:pPr>
        <w:pStyle w:val="Titre2"/>
      </w:pPr>
      <w:r w:rsidRPr="00540A16">
        <w:t>Des chaînes YouTube consultées régulièrement</w:t>
      </w:r>
    </w:p>
    <w:p w14:paraId="0943B38C" w14:textId="118E163F" w:rsidR="00540A16" w:rsidRDefault="00411646" w:rsidP="00540A16">
      <w:pPr>
        <w:pStyle w:val="Standard"/>
      </w:pPr>
      <w:r w:rsidRPr="00411646">
        <w:t xml:space="preserve">Les élèves des trois sites ont mentionné suivre des </w:t>
      </w:r>
      <w:r>
        <w:t>« </w:t>
      </w:r>
      <w:r w:rsidRPr="00411646">
        <w:t>créateurs de contenu</w:t>
      </w:r>
      <w:r>
        <w:t> »</w:t>
      </w:r>
      <w:r w:rsidRPr="00411646">
        <w:t xml:space="preserve"> sur différentes plateformes en ligne, notamment </w:t>
      </w:r>
      <w:proofErr w:type="spellStart"/>
      <w:r w:rsidRPr="00411646">
        <w:t>Youtube</w:t>
      </w:r>
      <w:proofErr w:type="spellEnd"/>
      <w:r w:rsidRPr="00411646">
        <w:t xml:space="preserve"> et </w:t>
      </w:r>
      <w:proofErr w:type="spellStart"/>
      <w:r w:rsidRPr="00411646">
        <w:t>TikTok</w:t>
      </w:r>
      <w:proofErr w:type="spellEnd"/>
      <w:r w:rsidRPr="00411646">
        <w:t>. Parmi eux figurent des enseignants</w:t>
      </w:r>
      <w:r>
        <w:t xml:space="preserve">— tels </w:t>
      </w:r>
      <w:hyperlink r:id="rId7" w:history="1">
        <w:r w:rsidRPr="000F3376">
          <w:rPr>
            <w:rStyle w:val="Lienhypertexte"/>
          </w:rPr>
          <w:t xml:space="preserve">Yvan </w:t>
        </w:r>
        <w:proofErr w:type="spellStart"/>
        <w:r w:rsidRPr="000F3376">
          <w:rPr>
            <w:rStyle w:val="Lienhypertexte"/>
          </w:rPr>
          <w:t>Monka</w:t>
        </w:r>
        <w:proofErr w:type="spellEnd"/>
      </w:hyperlink>
      <w:r w:rsidRPr="000F3376">
        <w:t xml:space="preserve"> (pour les maths), </w:t>
      </w:r>
      <w:hyperlink r:id="rId8" w:history="1">
        <w:r w:rsidRPr="000C49D5">
          <w:rPr>
            <w:rStyle w:val="Lienhypertexte"/>
          </w:rPr>
          <w:t>Mathilde et Solène</w:t>
        </w:r>
      </w:hyperlink>
      <w:r>
        <w:t xml:space="preserve"> (français, sur </w:t>
      </w:r>
      <w:proofErr w:type="spellStart"/>
      <w:r>
        <w:t>TikTok</w:t>
      </w:r>
      <w:proofErr w:type="spellEnd"/>
      <w:r>
        <w:t>).</w:t>
      </w:r>
      <w:r w:rsidRPr="00411646">
        <w:t xml:space="preserve"> </w:t>
      </w:r>
      <w:r>
        <w:t xml:space="preserve">Ils ont également cité des chaînes d’actualité : </w:t>
      </w:r>
      <w:hyperlink r:id="rId9" w:history="1">
        <w:r w:rsidRPr="00540A16">
          <w:rPr>
            <w:rStyle w:val="Lienhypertexte"/>
          </w:rPr>
          <w:t>Brut</w:t>
        </w:r>
      </w:hyperlink>
      <w:r>
        <w:t xml:space="preserve">, </w:t>
      </w:r>
      <w:proofErr w:type="spellStart"/>
      <w:r>
        <w:t>Hugodécrypte</w:t>
      </w:r>
      <w:proofErr w:type="spellEnd"/>
      <w:r>
        <w:t xml:space="preserve"> (</w:t>
      </w:r>
      <w:hyperlink r:id="rId10" w:history="1">
        <w:r w:rsidRPr="00540A16">
          <w:rPr>
            <w:rStyle w:val="Lienhypertexte"/>
          </w:rPr>
          <w:t>Hugo Travers</w:t>
        </w:r>
      </w:hyperlink>
      <w:r>
        <w:t xml:space="preserve">), Le Monde. Pour la majorité des élèves, </w:t>
      </w:r>
      <w:r w:rsidRPr="00476AC9">
        <w:rPr>
          <w:i/>
          <w:iCs/>
        </w:rPr>
        <w:t>la consultation de ces chaînes est quotidienne</w:t>
      </w:r>
      <w:r>
        <w:t>, ce qui montre leur rôle important dans l’information générale (suivi et analyse de l’actualité, culture générale).</w:t>
      </w:r>
    </w:p>
    <w:p w14:paraId="566A2B10" w14:textId="224C99F3" w:rsidR="00540A16" w:rsidRPr="00540A16" w:rsidRDefault="00540A16" w:rsidP="004767CE">
      <w:pPr>
        <w:pStyle w:val="Titre2"/>
      </w:pPr>
      <w:r w:rsidRPr="00540A16">
        <w:t>Des enseignants vidéo plébiscités</w:t>
      </w:r>
      <w:r w:rsidR="00531915">
        <w:t>… ne remplaçant pas le</w:t>
      </w:r>
      <w:r w:rsidR="00BF04F0">
        <w:t>ur</w:t>
      </w:r>
      <w:r w:rsidR="00531915">
        <w:t>s enseignants</w:t>
      </w:r>
    </w:p>
    <w:p w14:paraId="78E69ACE" w14:textId="607851BD" w:rsidR="000F3376" w:rsidRDefault="000F3376" w:rsidP="000F3376">
      <w:pPr>
        <w:pStyle w:val="Standard"/>
      </w:pPr>
      <w:r>
        <w:t xml:space="preserve">Le groupe porte de façon unanime un regard positif sur les </w:t>
      </w:r>
      <w:r w:rsidR="00540A16">
        <w:t xml:space="preserve">enseignants </w:t>
      </w:r>
      <w:r w:rsidR="00596D71" w:rsidRPr="00596D71">
        <w:rPr>
          <w:i/>
          <w:iCs/>
        </w:rPr>
        <w:t>vidéo</w:t>
      </w:r>
      <w:r w:rsidR="00596D71">
        <w:t xml:space="preserve">. Ils sont </w:t>
      </w:r>
      <w:r>
        <w:t>consid</w:t>
      </w:r>
      <w:r w:rsidR="00596D71">
        <w:t>érés</w:t>
      </w:r>
      <w:r>
        <w:t xml:space="preserve"> </w:t>
      </w:r>
      <w:r w:rsidR="00596D71">
        <w:t xml:space="preserve">comme </w:t>
      </w:r>
      <w:r w:rsidRPr="00476AC9">
        <w:rPr>
          <w:i/>
          <w:iCs/>
        </w:rPr>
        <w:t>plus clairs et plus accessibles que les cours</w:t>
      </w:r>
      <w:r w:rsidR="00531915">
        <w:t>. Ils</w:t>
      </w:r>
      <w:r w:rsidR="00596D71">
        <w:t xml:space="preserve"> peuvent être</w:t>
      </w:r>
      <w:r>
        <w:t xml:space="preserve"> </w:t>
      </w:r>
      <w:r w:rsidRPr="00476AC9">
        <w:rPr>
          <w:i/>
          <w:iCs/>
        </w:rPr>
        <w:t>sollici</w:t>
      </w:r>
      <w:r w:rsidR="00596D71">
        <w:rPr>
          <w:i/>
          <w:iCs/>
        </w:rPr>
        <w:t>té</w:t>
      </w:r>
      <w:r w:rsidRPr="00476AC9">
        <w:rPr>
          <w:i/>
          <w:iCs/>
        </w:rPr>
        <w:t>s à tout instant</w:t>
      </w:r>
      <w:r w:rsidR="00491CEF">
        <w:t xml:space="preserve"> avec les fonctionnalités offertes par la vidéo : pause, accéléré, retour </w:t>
      </w:r>
      <w:r w:rsidR="00491CEF" w:rsidRPr="00491CEF">
        <w:t xml:space="preserve">en </w:t>
      </w:r>
      <w:r w:rsidR="00596D71" w:rsidRPr="00491CEF">
        <w:rPr>
          <w:iCs/>
        </w:rPr>
        <w:t>arrière</w:t>
      </w:r>
      <w:r w:rsidR="00491CEF">
        <w:rPr>
          <w:i/>
          <w:iCs/>
        </w:rPr>
        <w:t xml:space="preserve">, </w:t>
      </w:r>
      <w:r w:rsidR="00491CEF" w:rsidRPr="00491CEF">
        <w:rPr>
          <w:iCs/>
        </w:rPr>
        <w:t>focus sur une partie</w:t>
      </w:r>
      <w:r w:rsidR="00491CEF">
        <w:rPr>
          <w:i/>
          <w:iCs/>
        </w:rPr>
        <w:t xml:space="preserve"> </w:t>
      </w:r>
      <w:r w:rsidR="00531915">
        <w:t>(chacun a le contrôle sur la vidéo</w:t>
      </w:r>
      <w:r w:rsidR="00491CEF">
        <w:t>, ce qui n’est pas possible en classe</w:t>
      </w:r>
      <w:r w:rsidR="00531915">
        <w:t xml:space="preserve">). </w:t>
      </w:r>
      <w:r w:rsidR="00491CEF">
        <w:t xml:space="preserve">Une autre approche ou </w:t>
      </w:r>
      <w:r w:rsidR="00531915" w:rsidRPr="00531915">
        <w:t>une autre méthode que celle du cours est souvent proposée</w:t>
      </w:r>
      <w:r w:rsidR="00531915">
        <w:t xml:space="preserve"> dans la vidéo. </w:t>
      </w:r>
      <w:r>
        <w:t xml:space="preserve">Pour autant, </w:t>
      </w:r>
      <w:r w:rsidRPr="00491CEF">
        <w:rPr>
          <w:iCs/>
        </w:rPr>
        <w:t xml:space="preserve">le lien avec l’enseignant s’impose dès qu’il y a un </w:t>
      </w:r>
      <w:r w:rsidRPr="00491CEF">
        <w:rPr>
          <w:i/>
          <w:iCs/>
        </w:rPr>
        <w:t>besoin d’explication</w:t>
      </w:r>
      <w:r w:rsidRPr="00491CEF">
        <w:rPr>
          <w:iCs/>
        </w:rPr>
        <w:t xml:space="preserve"> ou l’envie d’aller au-delà</w:t>
      </w:r>
      <w:r w:rsidR="00491CEF">
        <w:t xml:space="preserve"> du seul contenu du cours (pas d’interaction avec le cours vidéo).</w:t>
      </w:r>
    </w:p>
    <w:p w14:paraId="44E867BA" w14:textId="6B7084DD" w:rsidR="00596D71" w:rsidRPr="00BF04F0" w:rsidRDefault="00531915" w:rsidP="00491CEF">
      <w:pPr>
        <w:pStyle w:val="Standard"/>
        <w:keepNext/>
        <w:rPr>
          <w:b/>
          <w:bCs/>
        </w:rPr>
      </w:pPr>
      <w:r w:rsidRPr="00BF04F0">
        <w:rPr>
          <w:b/>
          <w:bCs/>
        </w:rPr>
        <w:t xml:space="preserve">Des disciplines </w:t>
      </w:r>
      <w:r w:rsidR="00BF04F0" w:rsidRPr="00BF04F0">
        <w:rPr>
          <w:b/>
          <w:bCs/>
        </w:rPr>
        <w:t>nécessitant des ressources</w:t>
      </w:r>
    </w:p>
    <w:p w14:paraId="0F68208B" w14:textId="1675FF81" w:rsidR="006338AA" w:rsidRDefault="00ED036A" w:rsidP="00411646">
      <w:pPr>
        <w:pStyle w:val="Standard"/>
      </w:pPr>
      <w:r w:rsidRPr="00BF04F0">
        <w:t>Les</w:t>
      </w:r>
      <w:r w:rsidR="006338AA" w:rsidRPr="00BF04F0">
        <w:t xml:space="preserve"> manuels</w:t>
      </w:r>
      <w:r w:rsidR="00296030" w:rsidRPr="00BF04F0">
        <w:t xml:space="preserve"> scolaires </w:t>
      </w:r>
      <w:r w:rsidRPr="00BF04F0">
        <w:t>et les</w:t>
      </w:r>
      <w:r w:rsidR="00296030" w:rsidRPr="00BF04F0">
        <w:t xml:space="preserve"> ressources </w:t>
      </w:r>
      <w:proofErr w:type="spellStart"/>
      <w:r w:rsidRPr="00BF04F0">
        <w:t>Youtube</w:t>
      </w:r>
      <w:proofErr w:type="spellEnd"/>
      <w:r w:rsidRPr="00BF04F0">
        <w:t xml:space="preserve"> sont </w:t>
      </w:r>
      <w:r w:rsidR="00491CEF">
        <w:t xml:space="preserve">principalement </w:t>
      </w:r>
      <w:r w:rsidR="00BF04F0">
        <w:t>mobilisés</w:t>
      </w:r>
      <w:r w:rsidR="00296030" w:rsidRPr="00BF04F0">
        <w:t xml:space="preserve"> </w:t>
      </w:r>
      <w:r w:rsidRPr="00BF04F0">
        <w:t>sur</w:t>
      </w:r>
      <w:r w:rsidR="00296030" w:rsidRPr="00BF04F0">
        <w:t xml:space="preserve"> les mêm</w:t>
      </w:r>
      <w:r w:rsidR="00491CEF">
        <w:t xml:space="preserve">es matières : l’histoire-géographie et </w:t>
      </w:r>
      <w:r w:rsidR="00296030" w:rsidRPr="00BF04F0">
        <w:t xml:space="preserve">les mathématiques. </w:t>
      </w:r>
    </w:p>
    <w:p w14:paraId="177E1338" w14:textId="5F4C308A" w:rsidR="00140DBD" w:rsidRPr="00BF04F0" w:rsidRDefault="00341B4E" w:rsidP="004767CE">
      <w:pPr>
        <w:pStyle w:val="Standard"/>
        <w:keepNext/>
        <w:rPr>
          <w:b/>
          <w:bCs/>
        </w:rPr>
      </w:pPr>
      <w:r>
        <w:rPr>
          <w:b/>
          <w:bCs/>
        </w:rPr>
        <w:lastRenderedPageBreak/>
        <w:t>U</w:t>
      </w:r>
      <w:r w:rsidR="00140DBD" w:rsidRPr="00BF04F0">
        <w:rPr>
          <w:b/>
          <w:bCs/>
        </w:rPr>
        <w:t>n intérêt très fort</w:t>
      </w:r>
      <w:r>
        <w:rPr>
          <w:b/>
          <w:bCs/>
        </w:rPr>
        <w:t xml:space="preserve"> pour l’IA</w:t>
      </w:r>
      <w:r w:rsidR="00140DBD" w:rsidRPr="00BF04F0">
        <w:rPr>
          <w:b/>
          <w:bCs/>
        </w:rPr>
        <w:t>,</w:t>
      </w:r>
      <w:r w:rsidR="00BF04F0" w:rsidRPr="00BF04F0">
        <w:rPr>
          <w:b/>
          <w:bCs/>
        </w:rPr>
        <w:t xml:space="preserve"> mais un discours prudent voire convenu</w:t>
      </w:r>
    </w:p>
    <w:p w14:paraId="6601DBFA" w14:textId="7AD2D56B" w:rsidR="0039233A" w:rsidRDefault="00BF04F0" w:rsidP="004767CE">
      <w:pPr>
        <w:pStyle w:val="Standard"/>
        <w:keepNext/>
      </w:pPr>
      <w:r>
        <w:t>Pour la recherche d’informations, l’IA se substitue peu à peu aux moteurs de recherche</w:t>
      </w:r>
      <w:r w:rsidR="0039233A">
        <w:t xml:space="preserve">, </w:t>
      </w:r>
      <w:r w:rsidR="0039233A" w:rsidRPr="00476AC9">
        <w:rPr>
          <w:i/>
          <w:iCs/>
        </w:rPr>
        <w:t>donn</w:t>
      </w:r>
      <w:r w:rsidR="0039233A">
        <w:rPr>
          <w:i/>
          <w:iCs/>
        </w:rPr>
        <w:t>ant</w:t>
      </w:r>
      <w:r w:rsidR="0039233A">
        <w:t xml:space="preserve"> </w:t>
      </w:r>
      <w:r w:rsidR="0039233A" w:rsidRPr="00476AC9">
        <w:rPr>
          <w:i/>
          <w:iCs/>
        </w:rPr>
        <w:t>acc</w:t>
      </w:r>
      <w:r w:rsidR="0039233A">
        <w:rPr>
          <w:i/>
          <w:iCs/>
        </w:rPr>
        <w:t>ès</w:t>
      </w:r>
      <w:r w:rsidR="0039233A" w:rsidRPr="00476AC9">
        <w:rPr>
          <w:i/>
          <w:iCs/>
        </w:rPr>
        <w:t xml:space="preserve"> de façon très rapide aux informations</w:t>
      </w:r>
      <w:r w:rsidR="0039233A">
        <w:rPr>
          <w:i/>
          <w:iCs/>
        </w:rPr>
        <w:t xml:space="preserve">. </w:t>
      </w:r>
      <w:r w:rsidR="0039233A" w:rsidRPr="0039233A">
        <w:t>«</w:t>
      </w:r>
      <w:r w:rsidR="00274856">
        <w:t> </w:t>
      </w:r>
      <w:r w:rsidR="0039233A" w:rsidRPr="0039233A">
        <w:t>C’est comme d’avoir un prof de poche »</w:t>
      </w:r>
      <w:r w:rsidR="0039233A">
        <w:t xml:space="preserve">, </w:t>
      </w:r>
      <w:r w:rsidR="00274856">
        <w:t>affirme</w:t>
      </w:r>
      <w:r w:rsidR="0039233A">
        <w:t xml:space="preserve"> un lycéen.</w:t>
      </w:r>
    </w:p>
    <w:p w14:paraId="019D3E42" w14:textId="1E0F993C" w:rsidR="0039233A" w:rsidRDefault="0039233A" w:rsidP="00EC4C55">
      <w:pPr>
        <w:pStyle w:val="Standard"/>
        <w:rPr>
          <w:i/>
          <w:iCs/>
        </w:rPr>
      </w:pPr>
      <w:r>
        <w:t>Plus généralement, l</w:t>
      </w:r>
      <w:r w:rsidR="00140DBD">
        <w:t xml:space="preserve">’IA est </w:t>
      </w:r>
      <w:r w:rsidR="009D2F14">
        <w:t xml:space="preserve">perçue comme un outil de travail qui permet de gagner du temps. </w:t>
      </w:r>
      <w:r w:rsidR="003A5E68">
        <w:t xml:space="preserve">Les appropriations des IA sont </w:t>
      </w:r>
      <w:r w:rsidR="00174523">
        <w:t xml:space="preserve">très inégales. </w:t>
      </w:r>
      <w:r w:rsidR="00B46FD7">
        <w:t>Si</w:t>
      </w:r>
      <w:r w:rsidR="00B46FD7" w:rsidRPr="0039233A">
        <w:t xml:space="preserve"> d</w:t>
      </w:r>
      <w:r>
        <w:t xml:space="preserve">es </w:t>
      </w:r>
      <w:r w:rsidR="00B46FD7" w:rsidRPr="0039233A">
        <w:t xml:space="preserve">élèves </w:t>
      </w:r>
      <w:r w:rsidR="003A5E68">
        <w:t xml:space="preserve">en </w:t>
      </w:r>
      <w:r w:rsidR="00B46FD7" w:rsidRPr="0039233A">
        <w:t xml:space="preserve">attendent </w:t>
      </w:r>
      <w:r w:rsidR="003A5E68">
        <w:t>la</w:t>
      </w:r>
      <w:r w:rsidR="00B46FD7" w:rsidRPr="0039233A">
        <w:t xml:space="preserve"> </w:t>
      </w:r>
      <w:r w:rsidR="003A5E68">
        <w:t>fourniture</w:t>
      </w:r>
      <w:r w:rsidR="00B46FD7" w:rsidRPr="0039233A">
        <w:t xml:space="preserve"> de « produits finaux »</w:t>
      </w:r>
      <w:r w:rsidR="00B46FD7">
        <w:t xml:space="preserve"> </w:t>
      </w:r>
      <w:r w:rsidR="00274856">
        <w:t>(réponses</w:t>
      </w:r>
      <w:r w:rsidR="00B46FD7">
        <w:t xml:space="preserve"> aux exercices ou textes des devoirs), </w:t>
      </w:r>
      <w:r w:rsidR="00B46FD7" w:rsidRPr="0039233A">
        <w:t>des usages plus « </w:t>
      </w:r>
      <w:r w:rsidRPr="0039233A">
        <w:t>interac</w:t>
      </w:r>
      <w:r w:rsidR="00B46FD7" w:rsidRPr="0039233A">
        <w:t xml:space="preserve">tifs » </w:t>
      </w:r>
      <w:r>
        <w:t xml:space="preserve">sont mentionnés, </w:t>
      </w:r>
      <w:r w:rsidR="00B46FD7" w:rsidRPr="0039233A">
        <w:t xml:space="preserve">l’IA </w:t>
      </w:r>
      <w:r w:rsidR="00274856">
        <w:t>étant</w:t>
      </w:r>
      <w:r w:rsidR="00B46FD7" w:rsidRPr="0039233A">
        <w:t xml:space="preserve"> sollicitée pour produire des outils d’aide au travail</w:t>
      </w:r>
      <w:r w:rsidR="00B46FD7">
        <w:t xml:space="preserve"> (production de fiches de révision, de quiz</w:t>
      </w:r>
      <w:r w:rsidR="009D2F14">
        <w:t xml:space="preserve"> et d’exercices</w:t>
      </w:r>
      <w:r w:rsidR="00B46FD7">
        <w:t>, proposition d’un programme de révision).</w:t>
      </w:r>
      <w:r w:rsidRPr="0039233A">
        <w:rPr>
          <w:i/>
          <w:iCs/>
        </w:rPr>
        <w:t xml:space="preserve"> </w:t>
      </w:r>
    </w:p>
    <w:p w14:paraId="71FCF784" w14:textId="071EDFF2" w:rsidR="0039233A" w:rsidRDefault="0039233A" w:rsidP="00EC4C55">
      <w:pPr>
        <w:pStyle w:val="Standard"/>
      </w:pPr>
      <w:r>
        <w:t>L</w:t>
      </w:r>
      <w:r w:rsidRPr="0039233A">
        <w:t xml:space="preserve">es élèves des 3 sites </w:t>
      </w:r>
      <w:r w:rsidR="00274856">
        <w:t>(peut-être en raison d’expériences malheureuses</w:t>
      </w:r>
      <w:bookmarkStart w:id="0" w:name="_GoBack"/>
      <w:bookmarkEnd w:id="0"/>
      <w:r w:rsidR="00274856">
        <w:t xml:space="preserve">) </w:t>
      </w:r>
      <w:r w:rsidRPr="0039233A">
        <w:t>semblent</w:t>
      </w:r>
      <w:r>
        <w:t xml:space="preserve"> avoir bien conscience des limites des IA (erreurs, fausses informations…)</w:t>
      </w:r>
      <w:r w:rsidR="00274856">
        <w:t>, n</w:t>
      </w:r>
      <w:r>
        <w:t>otamment en mathématiques</w:t>
      </w:r>
      <w:r w:rsidR="00274856">
        <w:t>, nécessitant de reformuler, voire de contrôler les réponses de l’IA.</w:t>
      </w:r>
    </w:p>
    <w:p w14:paraId="2388C894" w14:textId="3BE37BFC" w:rsidR="00EA62E5" w:rsidRDefault="00EA62E5" w:rsidP="00EC4C55">
      <w:pPr>
        <w:pStyle w:val="Standard"/>
      </w:pPr>
    </w:p>
    <w:sectPr w:rsidR="00EA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D78AD" w16cex:dateUtc="2025-10-28T23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1C"/>
    <w:rsid w:val="0005401C"/>
    <w:rsid w:val="000C49D5"/>
    <w:rsid w:val="000F3376"/>
    <w:rsid w:val="00140DBD"/>
    <w:rsid w:val="0016002B"/>
    <w:rsid w:val="00166163"/>
    <w:rsid w:val="00174523"/>
    <w:rsid w:val="0019574D"/>
    <w:rsid w:val="001C4409"/>
    <w:rsid w:val="00274856"/>
    <w:rsid w:val="00292E9D"/>
    <w:rsid w:val="00296030"/>
    <w:rsid w:val="002C6540"/>
    <w:rsid w:val="00341B4E"/>
    <w:rsid w:val="0039233A"/>
    <w:rsid w:val="003A5E68"/>
    <w:rsid w:val="003E0485"/>
    <w:rsid w:val="00411646"/>
    <w:rsid w:val="0044713C"/>
    <w:rsid w:val="004767CE"/>
    <w:rsid w:val="00476AC9"/>
    <w:rsid w:val="00491CEF"/>
    <w:rsid w:val="00531915"/>
    <w:rsid w:val="00540A16"/>
    <w:rsid w:val="00596D71"/>
    <w:rsid w:val="006338AA"/>
    <w:rsid w:val="00683450"/>
    <w:rsid w:val="006F29ED"/>
    <w:rsid w:val="0072047F"/>
    <w:rsid w:val="00732FB3"/>
    <w:rsid w:val="007D02A3"/>
    <w:rsid w:val="007F55A9"/>
    <w:rsid w:val="00843CD2"/>
    <w:rsid w:val="008C6321"/>
    <w:rsid w:val="008E4F55"/>
    <w:rsid w:val="009C3FA8"/>
    <w:rsid w:val="009D2F14"/>
    <w:rsid w:val="00A20E19"/>
    <w:rsid w:val="00B46FD7"/>
    <w:rsid w:val="00B84574"/>
    <w:rsid w:val="00BB20B7"/>
    <w:rsid w:val="00BB5EF6"/>
    <w:rsid w:val="00BF04F0"/>
    <w:rsid w:val="00C4057A"/>
    <w:rsid w:val="00C936B0"/>
    <w:rsid w:val="00CC7FDF"/>
    <w:rsid w:val="00CE3A71"/>
    <w:rsid w:val="00DD52F0"/>
    <w:rsid w:val="00DE4FDD"/>
    <w:rsid w:val="00EA62E5"/>
    <w:rsid w:val="00EC4C55"/>
    <w:rsid w:val="00ED036A"/>
    <w:rsid w:val="00ED0E74"/>
    <w:rsid w:val="00EF1AB8"/>
    <w:rsid w:val="00F35424"/>
    <w:rsid w:val="00F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ECC35"/>
  <w15:chartTrackingRefBased/>
  <w15:docId w15:val="{598FB427-D20E-4A59-A233-C330C9C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7CE"/>
    <w:pPr>
      <w:keepNext/>
      <w:keepLines/>
      <w:spacing w:before="160" w:after="80"/>
      <w:outlineLvl w:val="1"/>
    </w:pPr>
    <w:rPr>
      <w:rFonts w:ascii="Verdana" w:eastAsiaTheme="majorEastAsia" w:hAnsi="Verdana" w:cstheme="majorBidi"/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767CE"/>
    <w:rPr>
      <w:rFonts w:ascii="Verdana" w:eastAsiaTheme="majorEastAsia" w:hAnsi="Verdana" w:cstheme="majorBidi"/>
      <w:b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0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0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0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0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0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0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0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0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0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0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01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"/>
    <w:qFormat/>
    <w:rsid w:val="00EC4C55"/>
    <w:pPr>
      <w:spacing w:after="120" w:line="240" w:lineRule="auto"/>
      <w:jc w:val="both"/>
    </w:pPr>
    <w:rPr>
      <w:rFonts w:ascii="Verdana" w:hAnsi="Verdana"/>
    </w:rPr>
  </w:style>
  <w:style w:type="character" w:styleId="Lienhypertexte">
    <w:name w:val="Hyperlink"/>
    <w:basedOn w:val="Policepardfaut"/>
    <w:uiPriority w:val="99"/>
    <w:unhideWhenUsed/>
    <w:rsid w:val="00DE4FDD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E4FD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04F0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834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34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34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4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450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8345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discover/mathilde-et-sol%C3%A8ne-livres-prof-franc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Yvan_Mon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x-education.com/fr/logiciel-gestion-vie-scolaire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fr.wikipedia.org/wiki/Hugo_Trav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BrutF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50BD-0FE6-48C0-8E8B-6E62107B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CHAINEAU</dc:creator>
  <cp:keywords/>
  <dc:description/>
  <cp:lastModifiedBy>Eric Bruillard</cp:lastModifiedBy>
  <cp:revision>5</cp:revision>
  <dcterms:created xsi:type="dcterms:W3CDTF">2025-10-29T08:01:00Z</dcterms:created>
  <dcterms:modified xsi:type="dcterms:W3CDTF">2025-10-29T08:10:00Z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660e40a3-81a9-4904-9ca9-cfe038d656a1</vt:lpwstr>
  </property>
</Properties>
</file>